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28,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w:cs="Times" w:eastAsia="Times" w:hAnsi="Times"/>
        </w:rPr>
      </w:pPr>
      <w:r w:rsidDel="00000000" w:rsidR="00000000" w:rsidRPr="00000000">
        <w:rPr>
          <w:rFonts w:ascii="Times" w:cs="Times" w:eastAsia="Times" w:hAnsi="Times"/>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AGRISCIENCE FAIR PLANT SYSTEMS CATEGORY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Agriscience Fair Plant Systems Category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area of Plant Systems, there was an individual/team named the winner from each of the six divisions. Division 1 winner was Keyry Morgan of Franklin County Middle</w:t>
      </w:r>
      <w:r w:rsidDel="00000000" w:rsidR="00000000" w:rsidRPr="00000000">
        <w:rPr>
          <w:rFonts w:ascii="Times New Roman" w:cs="Times New Roman" w:eastAsia="Times New Roman" w:hAnsi="Times New Roman"/>
          <w:rtl w:val="0"/>
        </w:rPr>
        <w:t xml:space="preserve">. Division 2 winning team was Hayley Caldwell and Kayla Peterman of Red Bud Middle . Division 3 winner was Alexis Herring of Lowndes County High. Division 4 winning team was Allie Royston and Kathleen Rothwell-Adcock of Franklin County High.. Division 5 winner was Isabelle Hill of Heritage High. The Division 6 winners were Parker Goodman and Brandon Reinke of Locust Grove. Students competing in the Agriscience Fair conduct a scientific research project pertaining to the agriculture and food science industry and present their findings to a panel of judges with a visual display and written report.</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Plant Systems Category of the Agriscience Fair was sponsored by Golden Peanut &amp; Tree Nuts.</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winner received a plaque, a $100 cash award, and $500 travel money to compete in the National Agriscience Fair at the National FFA Convention. The advisor of each state winner also received a $100 cash award.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1191"/>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11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