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MECHANICS FABRICATION AND DESIGN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Mechanics Design and Fabrication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William Burdette of Madison County placed first in the proficiency competition. Placing second was Stormy Knight of Toombs County, and April Carroll of Tift County placed third.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Mechanics Design and Fabrication Proficiency involves projects where students design and construct agricultural equipment, structural land improvements and/or buildings and structures such as plumbing, heating, ventilation and air conditioning in agricultural settings.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Agricultural Mechanics Design and Fabrication Proficiency was sponsored at the state and national level by Carry-On Trailers.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