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CREED SPEAKING CAREER DEVELOPMENT EVENT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Creed Speaking Career Development Event (CDE)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Nate McKinney of East Jackson</w:t>
      </w:r>
      <w:r w:rsidDel="00000000" w:rsidR="00000000" w:rsidRPr="00000000">
        <w:rPr>
          <w:rFonts w:ascii="Times New Roman" w:cs="Times New Roman" w:eastAsia="Times New Roman" w:hAnsi="Times New Roman"/>
          <w:rtl w:val="0"/>
        </w:rPr>
        <w:t xml:space="preserve"> placed first in the individual CDE competition. Nola McAllister of Houston County placed second, followed by Annah Williams of Cook County in third place and Abby Dickens of Oconee County in fourth.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CDE awards are granted to FFA members and teams who have exhibited premier leadership, personal growth, and career success in a variety of competitions. Students learn speaking skills and respect for the history of the FFA by presenting their presentation of the FFA Creed before a panel of judges. Additionally, participants respond to questions directly related to the FFA Creed.</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Creed Speaking Career Development Event was sponsored at the state level by Hall Booth, Smith, P.C..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individual and team winners received a plaque and a cash award. The individual winner received $100 and $500 travel award for National Convention. The second place individual received $50 and third place individual received $25. Additionally, the advisor of the state winning individual received a $100 cash award.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w:t>
      </w:r>
      <w:r w:rsidDel="00000000" w:rsidR="00000000" w:rsidRPr="00000000">
        <w:rPr>
          <w:rtl w:val="0"/>
        </w:rPr>
      </w:r>
    </w:p>
    <w:sectPr>
      <w:headerReference r:id="rId6"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