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DIVERSIFIED HORTICULTURE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STATE FFA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Agricultural Communications Career Development Event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State FFA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Kristen Makayla West of Madison County placed first in the proficiency competition. Placing second was Kara Vaughn of Coffee County, and Hadden Powell of Bleckley County placed third.</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The Diversified Horticulture Proficiency involves activities where students acquire experience producing, processing and marketing plants used principally for ornamental or aesthetic purposes, as well as fruits and vegetables related to horticulture. This proficiency encompasses topics from the following areas: floriculture, nursery operations, landscape management, viticulture, pomology, and horticultural fruits and vegetables (excluding fruit and vegetable row crops).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Diversified Horticulture Proficiency was sponsored at the state level by Georgia’s Ag Tag Sales.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