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HALL OF GEORGIA AWARD RECIPIENTS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Recipients of the 2018 Hall of Georgia Awards were recognized at the 90</w:t>
      </w:r>
      <w:r w:rsidDel="00000000" w:rsidR="00000000" w:rsidRPr="00000000">
        <w:rPr>
          <w:vertAlign w:val="superscript"/>
          <w:rtl w:val="0"/>
        </w:rPr>
        <w:t xml:space="preserve">th</w:t>
      </w:r>
      <w:r w:rsidDel="00000000" w:rsidR="00000000" w:rsidRPr="00000000">
        <w:rPr>
          <w:rtl w:val="0"/>
        </w:rPr>
        <w:t xml:space="preserve"> State FFA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The Paulding County received first, followed by Echols County and Perry, finishing second and third, respectively.</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Hall of Georgia Awards were given to individuals who created displays to showcase facts, figures, and products concerning Georgia’s agricultural industry in the Hall of Georgia exhibit competition. These booths were judged on creativity, student interaction, knowledge of Georgia agriculture, and professionalism, and were available for viewing during the Georgia State Convention’s Career Show on April 27, 2017. These exhibits are meant to educate others about the rich traditions and bright future for the agriculture industry in Georgia.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bookmarkStart w:colFirst="0" w:colLast="0" w:name="_gjdgxs" w:id="0"/>
      <w:bookmarkEnd w:id="0"/>
      <w:r w:rsidDel="00000000" w:rsidR="00000000" w:rsidRPr="00000000">
        <w:rPr>
          <w:rtl w:val="0"/>
        </w:rPr>
        <w:t xml:space="preserve">The Hall of Georgia Awards were sponsored by the Farm Credit Associations of Georgia.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finalists received a plaque. The winning chapter received $2,500 in travel money to represent Georgia at the Hall of States during the National FFA Convention.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sectPr>
      <w:headerReference r:id="rId6" w:type="default"/>
      <w:pgSz w:h="15840" w:w="12240"/>
      <w:pgMar w:bottom="1440" w:top="1440" w:left="1440" w:right="144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