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BEEF PRODUCTION</w:t>
      </w:r>
      <w:r w:rsidDel="00000000" w:rsidR="00000000" w:rsidRPr="00000000">
        <w:rPr>
          <w:b w:val="1"/>
          <w:sz w:val="32"/>
          <w:szCs w:val="32"/>
          <w:rtl w:val="0"/>
        </w:rPr>
        <w:t xml:space="preserve"> </w:t>
      </w:r>
      <w:r w:rsidDel="00000000" w:rsidR="00000000" w:rsidRPr="00000000">
        <w:rPr>
          <w:b w:val="1"/>
          <w:rtl w:val="0"/>
        </w:rPr>
        <w:t xml:space="preserve">ENTREPRENEURSHIP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MACON, Ga. – Winners of the Beef Production Entrepreneurship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bookmarkStart w:colFirst="0" w:colLast="0" w:name="_gjdgxs" w:id="0"/>
      <w:bookmarkEnd w:id="0"/>
      <w:r w:rsidDel="00000000" w:rsidR="00000000" w:rsidRPr="00000000">
        <w:rPr>
          <w:rtl w:val="0"/>
        </w:rPr>
        <w:t xml:space="preserve">Will Woodward of Morgan County placed first in the proficiency competition. Placing second was Reese Johnson of Berrien County, and Eli Smallwood of Jasper County placed third.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Beef Production Entrepreneurship Proficiency involves activities where students independently acquire industry experience by implementing programs to utilize best management practices available to produce and market beef efficiently.</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Beef Production Entrepreneurship Proficiency was sponsored at the state level by the Georgia Cattlemen’s Foundation.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