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EQUINE SCIENCE ENTREPRENEURSHIP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Equine Science Entrepreneurship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Rhine Brady of White County placed first in the proficiency competition. Placing second was Cody Waldschlager of Tift County, and Mallory Parrot of Harris County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The Equine Science Entrepreneurship Proficiency typically provides insights into horse production, breeding, marketing, showing and other aspects of the equine industry. Programs can also include calf roping, barrel racing, rodeo, horse racing, riding lessons and therapeutic horseback riding if horses are owned or managed by a member.</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Equine Science Entrepreneurship Proficiency was sponsored at the state level by the Georgia Equine Commodity Commission.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81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