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DIVERSIFIED CROP PRODUCTION ENTREPRENEURSHIP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Diversified Crop Production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Joseph Lawhorn of Miller County placed first in the proficiency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The Diversified Crop Production Entrepreneurship Proficiency involves the use of the best management practices available to efficiently produce and market two or more crop related proficiency areas such as: grain, fiber/oil, forage, specialty crop, non-horticultural vegetable or fruit production.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Diversified Crop Production Entrepreneurship Proficiency was sponsored at the state level by the Georgia Soybean Commodity Commission.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